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5" w:rsidRPr="00534477" w:rsidRDefault="00E14710" w:rsidP="00E14710">
      <w:pPr>
        <w:jc w:val="center"/>
        <w:rPr>
          <w:rFonts w:ascii="Constantia" w:hAnsi="Constantia"/>
          <w:b/>
          <w:color w:val="7030A0"/>
          <w:sz w:val="36"/>
          <w:szCs w:val="36"/>
        </w:rPr>
      </w:pPr>
      <w:r w:rsidRPr="00534477">
        <w:rPr>
          <w:rFonts w:ascii="Constantia" w:hAnsi="Constantia"/>
          <w:b/>
          <w:color w:val="7030A0"/>
          <w:sz w:val="36"/>
          <w:szCs w:val="36"/>
        </w:rPr>
        <w:t xml:space="preserve">Информация об инвестиционной деятельности предприятий и организаций в </w:t>
      </w:r>
      <w:proofErr w:type="spellStart"/>
      <w:r w:rsidRPr="00534477">
        <w:rPr>
          <w:rFonts w:ascii="Constantia" w:hAnsi="Constantia"/>
          <w:b/>
          <w:color w:val="7030A0"/>
          <w:sz w:val="36"/>
          <w:szCs w:val="36"/>
        </w:rPr>
        <w:t>Западнодвинском</w:t>
      </w:r>
      <w:proofErr w:type="spellEnd"/>
      <w:r w:rsidRPr="00534477">
        <w:rPr>
          <w:rFonts w:ascii="Constantia" w:hAnsi="Constantia"/>
          <w:b/>
          <w:color w:val="7030A0"/>
          <w:sz w:val="36"/>
          <w:szCs w:val="36"/>
        </w:rPr>
        <w:t xml:space="preserve"> муниципальном округе в 2021 году</w:t>
      </w:r>
    </w:p>
    <w:p w:rsidR="00E14710" w:rsidRPr="00E14710" w:rsidRDefault="00E14710" w:rsidP="00E14710">
      <w:pPr>
        <w:spacing w:after="0"/>
        <w:ind w:firstLine="540"/>
        <w:jc w:val="both"/>
        <w:rPr>
          <w:rFonts w:ascii="Constantia" w:eastAsia="Times New Roman" w:hAnsi="Constantia" w:cs="Times New Roman"/>
          <w:sz w:val="28"/>
          <w:szCs w:val="28"/>
        </w:rPr>
      </w:pPr>
      <w:r w:rsidRPr="00E14710">
        <w:rPr>
          <w:rFonts w:ascii="Constantia" w:hAnsi="Constantia"/>
          <w:sz w:val="28"/>
          <w:szCs w:val="28"/>
        </w:rPr>
        <w:t xml:space="preserve">По данным </w:t>
      </w:r>
      <w:proofErr w:type="spellStart"/>
      <w:r w:rsidRPr="00E14710">
        <w:rPr>
          <w:rFonts w:ascii="Constantia" w:hAnsi="Constantia"/>
          <w:sz w:val="28"/>
          <w:szCs w:val="28"/>
        </w:rPr>
        <w:t>Тверьстата</w:t>
      </w:r>
      <w:proofErr w:type="spellEnd"/>
      <w:r w:rsidRPr="00E14710">
        <w:rPr>
          <w:rFonts w:ascii="Times New Roman" w:hAnsi="Times New Roman" w:cs="Times New Roman"/>
          <w:sz w:val="28"/>
          <w:szCs w:val="28"/>
        </w:rPr>
        <w:t xml:space="preserve"> </w:t>
      </w:r>
      <w:r w:rsidRPr="00E14710">
        <w:rPr>
          <w:rFonts w:ascii="Constantia" w:hAnsi="Constantia" w:cs="Times New Roman"/>
          <w:sz w:val="28"/>
          <w:szCs w:val="28"/>
        </w:rPr>
        <w:t xml:space="preserve">общий объем инвестиций в основной капитал крупных и средних организаций за счет всех источников финансирования в экономику </w:t>
      </w:r>
      <w:proofErr w:type="spellStart"/>
      <w:r w:rsidRPr="00E14710">
        <w:rPr>
          <w:rFonts w:ascii="Constantia" w:hAnsi="Constantia" w:cs="Times New Roman"/>
          <w:sz w:val="28"/>
          <w:szCs w:val="28"/>
        </w:rPr>
        <w:t>Западнодвинского</w:t>
      </w:r>
      <w:proofErr w:type="spellEnd"/>
      <w:r w:rsidRPr="00E14710">
        <w:rPr>
          <w:rFonts w:ascii="Constantia" w:hAnsi="Constantia" w:cs="Times New Roman"/>
          <w:sz w:val="28"/>
          <w:szCs w:val="28"/>
        </w:rPr>
        <w:t xml:space="preserve"> муниципального округа в 2021 году составил </w:t>
      </w:r>
      <w:r>
        <w:rPr>
          <w:rFonts w:ascii="Constantia" w:hAnsi="Constantia" w:cs="Times New Roman"/>
          <w:sz w:val="28"/>
          <w:szCs w:val="28"/>
        </w:rPr>
        <w:t>53,746</w:t>
      </w:r>
      <w:r w:rsidRPr="00E14710">
        <w:rPr>
          <w:rFonts w:ascii="Constantia" w:hAnsi="Constantia" w:cs="Times New Roman"/>
          <w:sz w:val="28"/>
          <w:szCs w:val="28"/>
        </w:rPr>
        <w:t xml:space="preserve"> млн.рублей. </w:t>
      </w:r>
      <w:r w:rsidRPr="00E14710">
        <w:rPr>
          <w:rFonts w:ascii="Constantia" w:eastAsia="Times New Roman" w:hAnsi="Constantia" w:cs="Times New Roman"/>
          <w:sz w:val="28"/>
          <w:szCs w:val="28"/>
        </w:rPr>
        <w:t xml:space="preserve">Индекс физического объема в сопоставимых ценах к предыдущему году составил </w:t>
      </w:r>
      <w:r>
        <w:rPr>
          <w:rFonts w:ascii="Constantia" w:eastAsia="Times New Roman" w:hAnsi="Constantia" w:cs="Times New Roman"/>
          <w:sz w:val="28"/>
          <w:szCs w:val="28"/>
        </w:rPr>
        <w:t>8</w:t>
      </w:r>
      <w:r w:rsidRPr="00E14710">
        <w:rPr>
          <w:rFonts w:ascii="Constantia" w:eastAsia="Times New Roman" w:hAnsi="Constantia" w:cs="Times New Roman"/>
          <w:sz w:val="28"/>
          <w:szCs w:val="28"/>
        </w:rPr>
        <w:t>3,</w:t>
      </w:r>
      <w:r>
        <w:rPr>
          <w:rFonts w:ascii="Constantia" w:eastAsia="Times New Roman" w:hAnsi="Constantia" w:cs="Times New Roman"/>
          <w:sz w:val="28"/>
          <w:szCs w:val="28"/>
        </w:rPr>
        <w:t>5</w:t>
      </w:r>
      <w:r w:rsidRPr="00E14710">
        <w:rPr>
          <w:rFonts w:ascii="Constantia" w:eastAsia="Times New Roman" w:hAnsi="Constantia" w:cs="Times New Roman"/>
          <w:sz w:val="28"/>
          <w:szCs w:val="28"/>
        </w:rPr>
        <w:t xml:space="preserve">%. 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 w:rsidRPr="00E14710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Структура капитальных вложений крупных и средних предприятий </w:t>
      </w:r>
      <w:proofErr w:type="spellStart"/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 муниципального округа</w:t>
      </w:r>
      <w:r w:rsidRPr="00E14710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 по направлениям инвестирования за 2021 год сложилась следующим образом: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- здания (кроме жилых) - 1246,0 тыс.рублей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- сооружения - 3969,0 тыс.рублей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- транспортные средства - 14631,0 тыс.рублей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- информационное, компьютерное и </w:t>
      </w:r>
      <w:proofErr w:type="spellStart"/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теле</w:t>
      </w:r>
      <w:r w:rsidR="0075765C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коммуникационое</w:t>
      </w:r>
      <w:proofErr w:type="spellEnd"/>
      <w:r w:rsidR="0075765C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 оборудование - 2</w:t>
      </w: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6</w:t>
      </w:r>
      <w:r w:rsidR="0075765C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29</w:t>
      </w: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,0 тыс.рублей</w:t>
      </w:r>
    </w:p>
    <w:p w:rsidR="00E14710" w:rsidRDefault="00E14710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- прочие машины и оборудование, включая хозяйственный</w:t>
      </w:r>
      <w:r w:rsidR="0075765C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 инвентарь и другие объекты - 23</w:t>
      </w: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411,0 тыс.рублей</w:t>
      </w:r>
    </w:p>
    <w:p w:rsidR="00E14710" w:rsidRDefault="00821EA6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- объекты интеллектуальной собственности - 22,0 тыс.рублей</w:t>
      </w:r>
    </w:p>
    <w:p w:rsidR="00821EA6" w:rsidRDefault="00821EA6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- прочие </w:t>
      </w:r>
      <w:r w:rsidR="0075765C"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 xml:space="preserve">- </w:t>
      </w:r>
      <w:r>
        <w:rPr>
          <w:rFonts w:ascii="Constantia" w:hAnsi="Constantia" w:cs="Arial"/>
          <w:color w:val="1C1C1C"/>
          <w:sz w:val="28"/>
          <w:szCs w:val="28"/>
          <w:shd w:val="clear" w:color="auto" w:fill="FFFFFF"/>
        </w:rPr>
        <w:t>6860,0 тыс.рублей</w:t>
      </w:r>
    </w:p>
    <w:p w:rsidR="00821EA6" w:rsidRDefault="00821EA6" w:rsidP="00E14710">
      <w:pPr>
        <w:spacing w:after="0"/>
        <w:ind w:firstLine="540"/>
        <w:jc w:val="both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</w:p>
    <w:p w:rsidR="00821EA6" w:rsidRDefault="00C2408A" w:rsidP="006508D8">
      <w:pPr>
        <w:spacing w:after="0"/>
        <w:ind w:hanging="142"/>
        <w:jc w:val="center"/>
        <w:rPr>
          <w:rFonts w:ascii="Constantia" w:hAnsi="Constantia" w:cs="Arial"/>
          <w:color w:val="1C1C1C"/>
          <w:sz w:val="28"/>
          <w:szCs w:val="28"/>
          <w:shd w:val="clear" w:color="auto" w:fill="FFFFFF"/>
        </w:rPr>
      </w:pPr>
      <w:r>
        <w:rPr>
          <w:rFonts w:ascii="Constantia" w:hAnsi="Constantia" w:cs="Arial"/>
          <w:noProof/>
          <w:color w:val="1C1C1C"/>
          <w:sz w:val="28"/>
          <w:szCs w:val="28"/>
          <w:shd w:val="clear" w:color="auto" w:fill="FFFFFF"/>
        </w:rPr>
        <w:drawing>
          <wp:inline distT="0" distB="0" distL="0" distR="0">
            <wp:extent cx="6022761" cy="3396343"/>
            <wp:effectExtent l="19050" t="0" r="1608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4710" w:rsidRPr="00E14710" w:rsidRDefault="00E14710" w:rsidP="00E14710">
      <w:pPr>
        <w:spacing w:after="0"/>
        <w:ind w:firstLine="540"/>
        <w:jc w:val="both"/>
        <w:rPr>
          <w:rFonts w:ascii="Constantia" w:eastAsia="Times New Roman" w:hAnsi="Constantia" w:cs="Times New Roman"/>
          <w:sz w:val="28"/>
          <w:szCs w:val="28"/>
        </w:rPr>
      </w:pPr>
    </w:p>
    <w:p w:rsidR="006508D8" w:rsidRPr="006508D8" w:rsidRDefault="006508D8" w:rsidP="006508D8">
      <w:pPr>
        <w:spacing w:after="0"/>
        <w:jc w:val="both"/>
        <w:rPr>
          <w:rFonts w:ascii="Constantia" w:hAnsi="Constantia"/>
          <w:sz w:val="28"/>
          <w:szCs w:val="28"/>
        </w:rPr>
      </w:pPr>
      <w:r w:rsidRPr="006508D8">
        <w:rPr>
          <w:rFonts w:ascii="Constantia" w:hAnsi="Constantia"/>
          <w:sz w:val="28"/>
          <w:szCs w:val="28"/>
        </w:rPr>
        <w:lastRenderedPageBreak/>
        <w:t xml:space="preserve">      В разрезе источников финансирования: всего лишь </w:t>
      </w:r>
      <w:r>
        <w:rPr>
          <w:rFonts w:ascii="Constantia" w:hAnsi="Constantia"/>
          <w:sz w:val="28"/>
          <w:szCs w:val="28"/>
        </w:rPr>
        <w:t>18,5</w:t>
      </w:r>
      <w:r w:rsidRPr="006508D8">
        <w:rPr>
          <w:rFonts w:ascii="Constantia" w:hAnsi="Constantia"/>
          <w:sz w:val="28"/>
          <w:szCs w:val="28"/>
        </w:rPr>
        <w:t xml:space="preserve">% приходится на собственные средства предприятий, </w:t>
      </w:r>
      <w:r>
        <w:rPr>
          <w:rFonts w:ascii="Constantia" w:hAnsi="Constantia"/>
          <w:sz w:val="28"/>
          <w:szCs w:val="28"/>
        </w:rPr>
        <w:t>70,2</w:t>
      </w:r>
      <w:r w:rsidRPr="006508D8">
        <w:rPr>
          <w:rFonts w:ascii="Constantia" w:hAnsi="Constantia"/>
          <w:sz w:val="28"/>
          <w:szCs w:val="28"/>
        </w:rPr>
        <w:t xml:space="preserve">% - бюджетные средства различного уровня, </w:t>
      </w:r>
      <w:r>
        <w:rPr>
          <w:rFonts w:ascii="Constantia" w:hAnsi="Constantia"/>
          <w:sz w:val="28"/>
          <w:szCs w:val="28"/>
        </w:rPr>
        <w:t>11,</w:t>
      </w:r>
      <w:r w:rsidRPr="006508D8">
        <w:rPr>
          <w:rFonts w:ascii="Constantia" w:hAnsi="Constantia"/>
          <w:sz w:val="28"/>
          <w:szCs w:val="28"/>
        </w:rPr>
        <w:t>3 % - на прочие источники.</w:t>
      </w:r>
    </w:p>
    <w:p w:rsidR="006508D8" w:rsidRPr="006508D8" w:rsidRDefault="006508D8" w:rsidP="006508D8">
      <w:pPr>
        <w:pStyle w:val="a5"/>
        <w:ind w:firstLine="360"/>
        <w:jc w:val="both"/>
        <w:rPr>
          <w:rFonts w:ascii="Constantia" w:hAnsi="Constantia" w:cs="Arial"/>
          <w:color w:val="1C1C1C"/>
          <w:sz w:val="28"/>
          <w:szCs w:val="28"/>
        </w:rPr>
      </w:pPr>
      <w:r>
        <w:rPr>
          <w:rFonts w:ascii="Constantia" w:hAnsi="Constantia" w:cs="Arial"/>
          <w:color w:val="1C1C1C"/>
          <w:sz w:val="28"/>
          <w:szCs w:val="28"/>
        </w:rPr>
        <w:t>О</w:t>
      </w:r>
      <w:r w:rsidRPr="006508D8">
        <w:rPr>
          <w:rFonts w:ascii="Constantia" w:hAnsi="Constantia" w:cs="Arial"/>
          <w:color w:val="1C1C1C"/>
          <w:sz w:val="28"/>
          <w:szCs w:val="28"/>
        </w:rPr>
        <w:t>сновную часть привлеченных ресурсов (</w:t>
      </w:r>
      <w:r>
        <w:rPr>
          <w:rFonts w:ascii="Constantia" w:hAnsi="Constantia" w:cs="Arial"/>
          <w:color w:val="1C1C1C"/>
          <w:sz w:val="28"/>
          <w:szCs w:val="28"/>
        </w:rPr>
        <w:t>70,2</w:t>
      </w:r>
      <w:r w:rsidRPr="006508D8">
        <w:rPr>
          <w:rFonts w:ascii="Constantia" w:hAnsi="Constantia" w:cs="Arial"/>
          <w:color w:val="1C1C1C"/>
          <w:sz w:val="28"/>
          <w:szCs w:val="28"/>
        </w:rPr>
        <w:t xml:space="preserve">%) составили бюджетные средства из бюджетов всех уровней, в которых преобладают средства </w:t>
      </w:r>
      <w:r>
        <w:rPr>
          <w:rFonts w:ascii="Constantia" w:hAnsi="Constantia" w:cs="Arial"/>
          <w:color w:val="1C1C1C"/>
          <w:sz w:val="28"/>
          <w:szCs w:val="28"/>
        </w:rPr>
        <w:t>област</w:t>
      </w:r>
      <w:r w:rsidRPr="006508D8">
        <w:rPr>
          <w:rFonts w:ascii="Constantia" w:hAnsi="Constantia" w:cs="Arial"/>
          <w:color w:val="1C1C1C"/>
          <w:sz w:val="28"/>
          <w:szCs w:val="28"/>
        </w:rPr>
        <w:t>ного бюджета (</w:t>
      </w:r>
      <w:r>
        <w:rPr>
          <w:rFonts w:ascii="Constantia" w:hAnsi="Constantia" w:cs="Arial"/>
          <w:color w:val="1C1C1C"/>
          <w:sz w:val="28"/>
          <w:szCs w:val="28"/>
        </w:rPr>
        <w:t>5</w:t>
      </w:r>
      <w:r w:rsidRPr="006508D8">
        <w:rPr>
          <w:rFonts w:ascii="Constantia" w:hAnsi="Constantia" w:cs="Arial"/>
          <w:color w:val="1C1C1C"/>
          <w:sz w:val="28"/>
          <w:szCs w:val="28"/>
        </w:rPr>
        <w:t>9,</w:t>
      </w:r>
      <w:r>
        <w:rPr>
          <w:rFonts w:ascii="Constantia" w:hAnsi="Constantia" w:cs="Arial"/>
          <w:color w:val="1C1C1C"/>
          <w:sz w:val="28"/>
          <w:szCs w:val="28"/>
        </w:rPr>
        <w:t>3</w:t>
      </w:r>
      <w:r w:rsidRPr="006508D8">
        <w:rPr>
          <w:rFonts w:ascii="Constantia" w:hAnsi="Constantia" w:cs="Arial"/>
          <w:color w:val="1C1C1C"/>
          <w:sz w:val="28"/>
          <w:szCs w:val="28"/>
        </w:rPr>
        <w:t xml:space="preserve">%), средства </w:t>
      </w:r>
      <w:r>
        <w:rPr>
          <w:rFonts w:ascii="Constantia" w:hAnsi="Constantia" w:cs="Arial"/>
          <w:color w:val="1C1C1C"/>
          <w:sz w:val="28"/>
          <w:szCs w:val="28"/>
        </w:rPr>
        <w:t>федераль</w:t>
      </w:r>
      <w:r w:rsidRPr="006508D8">
        <w:rPr>
          <w:rFonts w:ascii="Constantia" w:hAnsi="Constantia" w:cs="Arial"/>
          <w:color w:val="1C1C1C"/>
          <w:sz w:val="28"/>
          <w:szCs w:val="28"/>
        </w:rPr>
        <w:t xml:space="preserve">ного и местного бюджетов составили, соответственно, </w:t>
      </w:r>
      <w:r>
        <w:rPr>
          <w:rFonts w:ascii="Constantia" w:hAnsi="Constantia" w:cs="Arial"/>
          <w:color w:val="1C1C1C"/>
          <w:sz w:val="28"/>
          <w:szCs w:val="28"/>
        </w:rPr>
        <w:t>8,</w:t>
      </w:r>
      <w:r w:rsidR="00534477">
        <w:rPr>
          <w:rFonts w:ascii="Constantia" w:hAnsi="Constantia" w:cs="Arial"/>
          <w:color w:val="1C1C1C"/>
          <w:sz w:val="28"/>
          <w:szCs w:val="28"/>
        </w:rPr>
        <w:t>6</w:t>
      </w:r>
      <w:r w:rsidRPr="006508D8">
        <w:rPr>
          <w:rFonts w:ascii="Constantia" w:hAnsi="Constantia" w:cs="Arial"/>
          <w:color w:val="1C1C1C"/>
          <w:sz w:val="28"/>
          <w:szCs w:val="28"/>
        </w:rPr>
        <w:t xml:space="preserve">% и </w:t>
      </w:r>
      <w:r>
        <w:rPr>
          <w:rFonts w:ascii="Constantia" w:hAnsi="Constantia" w:cs="Arial"/>
          <w:color w:val="1C1C1C"/>
          <w:sz w:val="28"/>
          <w:szCs w:val="28"/>
        </w:rPr>
        <w:t>2,3</w:t>
      </w:r>
      <w:r w:rsidRPr="006508D8">
        <w:rPr>
          <w:rFonts w:ascii="Constantia" w:hAnsi="Constantia" w:cs="Arial"/>
          <w:color w:val="1C1C1C"/>
          <w:sz w:val="28"/>
          <w:szCs w:val="28"/>
        </w:rPr>
        <w:t>%, о чем свидетельствуют данные таблицы 1.</w:t>
      </w:r>
    </w:p>
    <w:p w:rsidR="006508D8" w:rsidRPr="006508D8" w:rsidRDefault="006508D8" w:rsidP="006508D8">
      <w:pPr>
        <w:pStyle w:val="a5"/>
        <w:ind w:firstLine="360"/>
        <w:jc w:val="right"/>
        <w:rPr>
          <w:rFonts w:ascii="Constantia" w:hAnsi="Constantia" w:cs="Arial"/>
          <w:color w:val="1C1C1C"/>
          <w:sz w:val="28"/>
          <w:szCs w:val="28"/>
        </w:rPr>
      </w:pPr>
      <w:r w:rsidRPr="006508D8">
        <w:rPr>
          <w:rFonts w:ascii="Constantia" w:hAnsi="Constantia" w:cs="Arial"/>
          <w:i/>
          <w:iCs/>
          <w:color w:val="1C1C1C"/>
          <w:sz w:val="28"/>
          <w:szCs w:val="28"/>
        </w:rPr>
        <w:t>Таблица 1</w:t>
      </w:r>
    </w:p>
    <w:p w:rsidR="006508D8" w:rsidRPr="00534477" w:rsidRDefault="006508D8" w:rsidP="006508D8">
      <w:pPr>
        <w:pStyle w:val="a5"/>
        <w:ind w:firstLine="360"/>
        <w:jc w:val="center"/>
        <w:rPr>
          <w:rFonts w:ascii="Constantia" w:hAnsi="Constantia" w:cs="Arial"/>
          <w:b/>
          <w:bCs/>
          <w:color w:val="7030A0"/>
          <w:sz w:val="32"/>
          <w:szCs w:val="32"/>
        </w:rPr>
      </w:pPr>
      <w:r w:rsidRPr="00534477">
        <w:rPr>
          <w:rFonts w:ascii="Constantia" w:hAnsi="Constantia" w:cs="Arial"/>
          <w:b/>
          <w:bCs/>
          <w:color w:val="7030A0"/>
          <w:sz w:val="32"/>
          <w:szCs w:val="32"/>
        </w:rPr>
        <w:t>Распределение бюджетных инвестиций по источникам</w:t>
      </w:r>
    </w:p>
    <w:tbl>
      <w:tblPr>
        <w:tblStyle w:val="a6"/>
        <w:tblW w:w="0" w:type="auto"/>
        <w:tblLook w:val="04A0"/>
      </w:tblPr>
      <w:tblGrid>
        <w:gridCol w:w="5353"/>
        <w:gridCol w:w="2126"/>
        <w:gridCol w:w="2092"/>
      </w:tblGrid>
      <w:tr w:rsidR="00534477" w:rsidTr="00C77D6F">
        <w:tc>
          <w:tcPr>
            <w:tcW w:w="5353" w:type="dxa"/>
            <w:vMerge w:val="restart"/>
          </w:tcPr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  <w:shd w:val="clear" w:color="auto" w:fill="FFFFFF"/>
              </w:rPr>
              <w:t>Бюджетные источники финансирования по уровням бюджетов бюджетной системы РФ</w:t>
            </w:r>
          </w:p>
        </w:tc>
        <w:tc>
          <w:tcPr>
            <w:tcW w:w="4218" w:type="dxa"/>
            <w:gridSpan w:val="2"/>
          </w:tcPr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color w:val="1F497D" w:themeColor="text2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color w:val="1F497D" w:themeColor="text2"/>
                <w:sz w:val="28"/>
                <w:szCs w:val="28"/>
              </w:rPr>
              <w:t>Объем инвестиций</w:t>
            </w:r>
          </w:p>
        </w:tc>
      </w:tr>
      <w:tr w:rsidR="00534477" w:rsidTr="006508D8">
        <w:tc>
          <w:tcPr>
            <w:tcW w:w="5353" w:type="dxa"/>
            <w:vMerge/>
          </w:tcPr>
          <w:p w:rsidR="00534477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color w:val="365F91" w:themeColor="accent1" w:themeShade="BF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color w:val="365F91" w:themeColor="accent1" w:themeShade="BF"/>
                <w:sz w:val="28"/>
                <w:szCs w:val="28"/>
              </w:rPr>
              <w:t>млн.руб.</w:t>
            </w:r>
          </w:p>
        </w:tc>
        <w:tc>
          <w:tcPr>
            <w:tcW w:w="2092" w:type="dxa"/>
          </w:tcPr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color w:val="365F91" w:themeColor="accent1" w:themeShade="BF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color w:val="365F91" w:themeColor="accent1" w:themeShade="BF"/>
                <w:sz w:val="28"/>
                <w:szCs w:val="28"/>
              </w:rPr>
              <w:t>в % к итогу</w:t>
            </w:r>
          </w:p>
        </w:tc>
      </w:tr>
      <w:tr w:rsidR="006508D8" w:rsidTr="006508D8">
        <w:tc>
          <w:tcPr>
            <w:tcW w:w="5353" w:type="dxa"/>
          </w:tcPr>
          <w:p w:rsidR="006508D8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  <w:shd w:val="clear" w:color="auto" w:fill="FFFFFF"/>
              </w:rPr>
            </w:pPr>
            <w:r w:rsidRPr="00534477"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  <w:shd w:val="clear" w:color="auto" w:fill="FFFFFF"/>
              </w:rPr>
              <w:t>Федеральный бюджет</w:t>
            </w:r>
          </w:p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08D8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4663,0</w:t>
            </w:r>
          </w:p>
        </w:tc>
        <w:tc>
          <w:tcPr>
            <w:tcW w:w="2092" w:type="dxa"/>
          </w:tcPr>
          <w:p w:rsidR="006508D8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8,6</w:t>
            </w:r>
          </w:p>
        </w:tc>
      </w:tr>
      <w:tr w:rsidR="006508D8" w:rsidTr="00534477">
        <w:tc>
          <w:tcPr>
            <w:tcW w:w="5353" w:type="dxa"/>
            <w:shd w:val="clear" w:color="auto" w:fill="DBE5F1" w:themeFill="accent1" w:themeFillTint="33"/>
          </w:tcPr>
          <w:p w:rsidR="006508D8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</w:rPr>
              <w:t>Областной бюджет</w:t>
            </w:r>
          </w:p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508D8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31849,0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6508D8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59,3</w:t>
            </w:r>
          </w:p>
        </w:tc>
      </w:tr>
      <w:tr w:rsidR="00534477" w:rsidTr="006508D8">
        <w:tc>
          <w:tcPr>
            <w:tcW w:w="5353" w:type="dxa"/>
          </w:tcPr>
          <w:p w:rsidR="00534477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  <w:shd w:val="clear" w:color="auto" w:fill="FFFFFF"/>
              </w:rPr>
            </w:pPr>
            <w:r w:rsidRPr="00534477"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  <w:shd w:val="clear" w:color="auto" w:fill="FFFFFF"/>
              </w:rPr>
              <w:t>Местный бюджет</w:t>
            </w:r>
          </w:p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477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1222,0</w:t>
            </w:r>
          </w:p>
        </w:tc>
        <w:tc>
          <w:tcPr>
            <w:tcW w:w="2092" w:type="dxa"/>
          </w:tcPr>
          <w:p w:rsidR="00534477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2,3</w:t>
            </w:r>
          </w:p>
        </w:tc>
      </w:tr>
      <w:tr w:rsidR="00534477" w:rsidTr="00534477">
        <w:tc>
          <w:tcPr>
            <w:tcW w:w="5353" w:type="dxa"/>
            <w:shd w:val="clear" w:color="auto" w:fill="95B3D7" w:themeFill="accent1" w:themeFillTint="99"/>
          </w:tcPr>
          <w:p w:rsidR="00534477" w:rsidRDefault="00534477" w:rsidP="006508D8">
            <w:pPr>
              <w:pStyle w:val="a5"/>
              <w:jc w:val="center"/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</w:rPr>
            </w:pPr>
            <w:r w:rsidRPr="00534477">
              <w:rPr>
                <w:rFonts w:ascii="Constantia" w:hAnsi="Constantia" w:cs="Arial"/>
                <w:b/>
                <w:bCs/>
                <w:color w:val="365F91"/>
                <w:sz w:val="28"/>
                <w:szCs w:val="28"/>
              </w:rPr>
              <w:t>Бюджетные средства всего</w:t>
            </w:r>
          </w:p>
          <w:p w:rsidR="00534477" w:rsidRPr="00534477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534477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37734,0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534477" w:rsidRPr="006508D8" w:rsidRDefault="00534477" w:rsidP="006508D8">
            <w:pPr>
              <w:pStyle w:val="a5"/>
              <w:jc w:val="center"/>
              <w:rPr>
                <w:rFonts w:ascii="Constantia" w:hAnsi="Constantia" w:cs="Arial"/>
                <w:color w:val="1C1C1C"/>
                <w:sz w:val="28"/>
                <w:szCs w:val="28"/>
              </w:rPr>
            </w:pPr>
            <w:r>
              <w:rPr>
                <w:rFonts w:ascii="Constantia" w:hAnsi="Constantia" w:cs="Arial"/>
                <w:color w:val="1C1C1C"/>
                <w:sz w:val="28"/>
                <w:szCs w:val="28"/>
              </w:rPr>
              <w:t>100,0</w:t>
            </w:r>
          </w:p>
        </w:tc>
      </w:tr>
    </w:tbl>
    <w:p w:rsidR="00534477" w:rsidRDefault="00534477" w:rsidP="005344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77" w:rsidRPr="00534477" w:rsidRDefault="00534477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34477">
        <w:rPr>
          <w:rFonts w:ascii="Constantia" w:hAnsi="Constantia"/>
          <w:sz w:val="28"/>
          <w:szCs w:val="28"/>
        </w:rPr>
        <w:t>Следует отметить, что денежные средства были направлены на:</w:t>
      </w:r>
    </w:p>
    <w:p w:rsidR="00534477" w:rsidRPr="00534477" w:rsidRDefault="00534477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34477">
        <w:rPr>
          <w:rFonts w:ascii="Constantia" w:hAnsi="Constantia"/>
          <w:sz w:val="28"/>
          <w:szCs w:val="28"/>
        </w:rPr>
        <w:t>- приобретение отраслевого оборудования, сооружений, инвентаря, оргтехники (ОП магазин Магнит ЗАО "</w:t>
      </w:r>
      <w:proofErr w:type="spellStart"/>
      <w:r w:rsidRPr="00534477">
        <w:rPr>
          <w:rFonts w:ascii="Constantia" w:hAnsi="Constantia"/>
          <w:sz w:val="28"/>
          <w:szCs w:val="28"/>
        </w:rPr>
        <w:t>Тандер</w:t>
      </w:r>
      <w:proofErr w:type="spellEnd"/>
      <w:r w:rsidRPr="00534477">
        <w:rPr>
          <w:rFonts w:ascii="Constantia" w:hAnsi="Constantia"/>
          <w:sz w:val="28"/>
          <w:szCs w:val="28"/>
        </w:rPr>
        <w:t>», ГБУЗ "</w:t>
      </w:r>
      <w:proofErr w:type="spellStart"/>
      <w:r w:rsidRPr="00534477">
        <w:rPr>
          <w:rFonts w:ascii="Constantia" w:hAnsi="Constantia"/>
          <w:sz w:val="28"/>
          <w:szCs w:val="28"/>
        </w:rPr>
        <w:t>Западнодвинская</w:t>
      </w:r>
      <w:proofErr w:type="spellEnd"/>
      <w:r w:rsidRPr="00534477">
        <w:rPr>
          <w:rFonts w:ascii="Constantia" w:hAnsi="Constantia"/>
          <w:sz w:val="28"/>
          <w:szCs w:val="28"/>
        </w:rPr>
        <w:t xml:space="preserve"> ЦРБ», МБОУ "</w:t>
      </w:r>
      <w:proofErr w:type="spellStart"/>
      <w:r w:rsidRPr="00534477">
        <w:rPr>
          <w:rFonts w:ascii="Constantia" w:hAnsi="Constantia"/>
          <w:sz w:val="28"/>
          <w:szCs w:val="28"/>
        </w:rPr>
        <w:t>Западнодвинская</w:t>
      </w:r>
      <w:proofErr w:type="spellEnd"/>
      <w:r w:rsidRPr="00534477">
        <w:rPr>
          <w:rFonts w:ascii="Constantia" w:hAnsi="Constantia"/>
          <w:sz w:val="28"/>
          <w:szCs w:val="28"/>
        </w:rPr>
        <w:t xml:space="preserve"> СОШ № 2", МБОУ "</w:t>
      </w:r>
      <w:proofErr w:type="spellStart"/>
      <w:r w:rsidRPr="00534477">
        <w:rPr>
          <w:rFonts w:ascii="Constantia" w:hAnsi="Constantia"/>
          <w:sz w:val="28"/>
          <w:szCs w:val="28"/>
        </w:rPr>
        <w:t>Западнодвинская</w:t>
      </w:r>
      <w:proofErr w:type="spellEnd"/>
      <w:r w:rsidRPr="00534477">
        <w:rPr>
          <w:rFonts w:ascii="Constantia" w:hAnsi="Constantia"/>
          <w:sz w:val="28"/>
          <w:szCs w:val="28"/>
        </w:rPr>
        <w:t xml:space="preserve"> СОШ № 1»,</w:t>
      </w:r>
      <w:r w:rsidR="00017CB0">
        <w:rPr>
          <w:rFonts w:ascii="Constantia" w:hAnsi="Constantia"/>
          <w:sz w:val="28"/>
          <w:szCs w:val="28"/>
        </w:rPr>
        <w:t xml:space="preserve"> </w:t>
      </w:r>
      <w:r w:rsidRPr="00534477">
        <w:rPr>
          <w:rFonts w:ascii="Constantia" w:hAnsi="Constantia"/>
          <w:sz w:val="28"/>
          <w:szCs w:val="28"/>
        </w:rPr>
        <w:t>МБОУ "Ильинская СОШ",ГБПОУ "</w:t>
      </w:r>
      <w:proofErr w:type="spellStart"/>
      <w:r w:rsidRPr="00534477">
        <w:rPr>
          <w:rFonts w:ascii="Constantia" w:hAnsi="Constantia"/>
          <w:sz w:val="28"/>
          <w:szCs w:val="28"/>
        </w:rPr>
        <w:t>Западнодвинский</w:t>
      </w:r>
      <w:proofErr w:type="spellEnd"/>
      <w:r w:rsidRPr="00534477">
        <w:rPr>
          <w:rFonts w:ascii="Constantia" w:hAnsi="Constantia"/>
          <w:sz w:val="28"/>
          <w:szCs w:val="28"/>
        </w:rPr>
        <w:t xml:space="preserve"> технологический колледж им.И.Ковалева", ФГУ комбинат "Валдай");</w:t>
      </w:r>
    </w:p>
    <w:p w:rsidR="00534477" w:rsidRPr="00534477" w:rsidRDefault="00534477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34477">
        <w:rPr>
          <w:rFonts w:ascii="Constantia" w:hAnsi="Constantia"/>
          <w:sz w:val="28"/>
          <w:szCs w:val="28"/>
        </w:rPr>
        <w:t>- приобретение транспортных " средств (ГБУЗ "</w:t>
      </w:r>
      <w:proofErr w:type="spellStart"/>
      <w:r w:rsidRPr="00534477">
        <w:rPr>
          <w:rFonts w:ascii="Constantia" w:hAnsi="Constantia"/>
          <w:sz w:val="28"/>
          <w:szCs w:val="28"/>
        </w:rPr>
        <w:t>Западнодвинская</w:t>
      </w:r>
      <w:proofErr w:type="spellEnd"/>
      <w:r w:rsidRPr="00534477">
        <w:rPr>
          <w:rFonts w:ascii="Constantia" w:hAnsi="Constantia"/>
          <w:sz w:val="28"/>
          <w:szCs w:val="28"/>
        </w:rPr>
        <w:t xml:space="preserve"> ЦРБ");</w:t>
      </w:r>
    </w:p>
    <w:p w:rsidR="00534477" w:rsidRPr="00534477" w:rsidRDefault="00534477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534477">
        <w:rPr>
          <w:rFonts w:ascii="Constantia" w:hAnsi="Constantia"/>
          <w:sz w:val="28"/>
          <w:szCs w:val="28"/>
        </w:rPr>
        <w:t>- реконстр</w:t>
      </w:r>
      <w:r w:rsidR="00017CB0">
        <w:rPr>
          <w:rFonts w:ascii="Constantia" w:hAnsi="Constantia"/>
          <w:sz w:val="28"/>
          <w:szCs w:val="28"/>
        </w:rPr>
        <w:t>укцию</w:t>
      </w:r>
      <w:r w:rsidRPr="00534477">
        <w:rPr>
          <w:rFonts w:ascii="Constantia" w:hAnsi="Constantia"/>
          <w:sz w:val="28"/>
          <w:szCs w:val="28"/>
        </w:rPr>
        <w:t xml:space="preserve"> электрических сетей (МРСК "Центра);</w:t>
      </w:r>
    </w:p>
    <w:p w:rsidR="00534477" w:rsidRPr="00534477" w:rsidRDefault="00017CB0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ab/>
      </w:r>
      <w:r w:rsidR="00534477" w:rsidRPr="00534477">
        <w:rPr>
          <w:rFonts w:ascii="Constantia" w:hAnsi="Constantia"/>
          <w:sz w:val="28"/>
          <w:szCs w:val="28"/>
        </w:rPr>
        <w:t xml:space="preserve">- обустройство общественной территории, детские игровые площадки в г.Западная Двина - Администрация </w:t>
      </w:r>
      <w:proofErr w:type="spellStart"/>
      <w:r w:rsidR="00534477" w:rsidRPr="00534477">
        <w:rPr>
          <w:rFonts w:ascii="Constantia" w:hAnsi="Constantia"/>
          <w:sz w:val="28"/>
          <w:szCs w:val="28"/>
        </w:rPr>
        <w:t>Западнодвинского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r w:rsidR="00534477" w:rsidRPr="00534477">
        <w:rPr>
          <w:rFonts w:ascii="Constantia" w:hAnsi="Constantia"/>
          <w:sz w:val="28"/>
          <w:szCs w:val="28"/>
        </w:rPr>
        <w:t>муниципального округа;</w:t>
      </w:r>
    </w:p>
    <w:p w:rsidR="00534477" w:rsidRPr="00534477" w:rsidRDefault="00017CB0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="00534477" w:rsidRPr="00534477">
        <w:rPr>
          <w:rFonts w:ascii="Constantia" w:hAnsi="Constantia"/>
          <w:sz w:val="28"/>
          <w:szCs w:val="28"/>
        </w:rPr>
        <w:t xml:space="preserve">- </w:t>
      </w:r>
      <w:r>
        <w:rPr>
          <w:rFonts w:ascii="Constantia" w:hAnsi="Constantia"/>
          <w:sz w:val="28"/>
          <w:szCs w:val="28"/>
        </w:rPr>
        <w:t>установку</w:t>
      </w:r>
      <w:r w:rsidR="00534477" w:rsidRPr="00534477">
        <w:rPr>
          <w:rFonts w:ascii="Constantia" w:hAnsi="Constantia"/>
          <w:sz w:val="28"/>
          <w:szCs w:val="28"/>
        </w:rPr>
        <w:t xml:space="preserve"> спортивной конструкции и оснащение спортивными снаряжениями - МБУ ЗРСК "Двина";</w:t>
      </w:r>
    </w:p>
    <w:p w:rsidR="00534477" w:rsidRPr="00534477" w:rsidRDefault="00017CB0" w:rsidP="00534477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="00534477" w:rsidRPr="00534477">
        <w:rPr>
          <w:rFonts w:ascii="Constantia" w:hAnsi="Constantia"/>
          <w:sz w:val="28"/>
          <w:szCs w:val="28"/>
        </w:rPr>
        <w:t>- и др.</w:t>
      </w:r>
    </w:p>
    <w:p w:rsidR="00E14710" w:rsidRPr="00E14710" w:rsidRDefault="00E14710" w:rsidP="00E14710">
      <w:pPr>
        <w:jc w:val="both"/>
        <w:rPr>
          <w:rFonts w:ascii="Constantia" w:hAnsi="Constantia"/>
          <w:sz w:val="36"/>
          <w:szCs w:val="36"/>
        </w:rPr>
      </w:pPr>
    </w:p>
    <w:sectPr w:rsidR="00E14710" w:rsidRPr="00E14710" w:rsidSect="000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14710"/>
    <w:rsid w:val="00017CB0"/>
    <w:rsid w:val="00054B85"/>
    <w:rsid w:val="00534477"/>
    <w:rsid w:val="006508D8"/>
    <w:rsid w:val="0075765C"/>
    <w:rsid w:val="00821EA6"/>
    <w:rsid w:val="00C2408A"/>
    <w:rsid w:val="00E1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капитальных вложений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здания кроме жилых</c:v>
                </c:pt>
                <c:pt idx="1">
                  <c:v>сооружения</c:v>
                </c:pt>
                <c:pt idx="2">
                  <c:v>транспортные средства</c:v>
                </c:pt>
                <c:pt idx="3">
                  <c:v>информационное, компьютерное и телекоммуникационное оборудование</c:v>
                </c:pt>
                <c:pt idx="4">
                  <c:v>прочие машины и оборудование</c:v>
                </c:pt>
                <c:pt idx="5">
                  <c:v>объекты интеллектуальной собственности</c:v>
                </c:pt>
                <c:pt idx="6">
                  <c:v>прочие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7.4</c:v>
                </c:pt>
                <c:pt idx="2">
                  <c:v>27.2</c:v>
                </c:pt>
                <c:pt idx="3">
                  <c:v>4.9000000000000004</c:v>
                </c:pt>
                <c:pt idx="4">
                  <c:v>43.6</c:v>
                </c:pt>
                <c:pt idx="5">
                  <c:v>4.0000000000000008E-2</c:v>
                </c:pt>
                <c:pt idx="6">
                  <c:v>12.8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2022-10-17T09:46:00Z</dcterms:created>
  <dcterms:modified xsi:type="dcterms:W3CDTF">2022-10-17T11:24:00Z</dcterms:modified>
</cp:coreProperties>
</file>